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FF69" w14:textId="77777777">
      <w:pPr>
        <w:spacing w:after="0"/>
      </w:pPr>
    </w:p>
    <w:p w14:paraId="5D83C924" w14:textId="08B30C1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E2BD6D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E23E0C" w14:textId="3CE30637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WORKSHEET</w:t>
      </w:r>
      <w:r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Considerations for Ceding IRB Review</w:t>
      </w:r>
    </w:p>
    <w:p w14:paraId="6C7234CF" w14:textId="0478D7E4">
      <w:pPr>
        <w:pStyle w:val="DocumentTitle-HCG"/>
        <w:spacing w:line="276" w:lineRule="auto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The purpose of this worksheet is to provide considerations that the institution may evaluate when considering requests to outsource review to a commercial IRB or to require a pSite’s IRB to serve as sIRB.</w:t>
      </w:r>
      <w:r>
        <w:rPr>
          <w:rStyle w:val="EndnoteReference"/>
          <w:b w:val="0"/>
          <w:bCs/>
          <w:sz w:val="22"/>
          <w:szCs w:val="22"/>
        </w:rPr>
        <w:endnoteReference w:id="2"/>
      </w:r>
      <w:r>
        <w:rPr>
          <w:b w:val="0"/>
          <w:bCs/>
          <w:sz w:val="22"/>
          <w:szCs w:val="22"/>
        </w:rPr>
        <w:t xml:space="preserve"> </w:t>
      </w:r>
    </w:p>
    <w:p w14:paraId="12DCAE26" w14:textId="0AE5E541">
      <w:pPr>
        <w:pStyle w:val="SectionHeading-HCG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General exclusion Criteria</w:t>
      </w:r>
    </w:p>
    <w:p w14:paraId="19C07F5B" w14:textId="07FBF691">
      <w:pPr>
        <w:pStyle w:val="PrimarySectionText-HCG"/>
        <w:spacing w:line="276" w:lineRule="auto"/>
      </w:pPr>
      <w:r>
        <w:rPr>
          <w:sz w:val="22"/>
          <w:szCs w:val="20"/>
        </w:rPr>
        <w:t xml:space="preserve">The following are circumstances in which the institution </w:t>
      </w:r>
      <w:r>
        <w:rPr>
          <w:sz w:val="22"/>
          <w:szCs w:val="20"/>
          <w:u w:val="single"/>
        </w:rPr>
        <w:t>will not</w:t>
      </w:r>
      <w:r>
        <w:rPr>
          <w:sz w:val="22"/>
          <w:szCs w:val="20"/>
        </w:rPr>
        <w:t xml:space="preserve"> cede IRB review.</w:t>
      </w:r>
    </w:p>
    <w:p w14:paraId="21AC122B" w14:textId="43DE9DB1">
      <w:pPr>
        <w:pStyle w:val="PrimarySectionText-HCG"/>
        <w:rPr>
          <w:b/>
          <w:bCs/>
        </w:rPr>
      </w:pPr>
      <w:sdt>
        <w:sdtPr>
          <w:rPr>
            <w:rFonts w:cs="Arial"/>
          </w:rPr>
          <w:id w:val="-28574283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sz w:val="22"/>
        </w:rPr>
        <w:t>The institution does not maintain an OHRP-approved Federalwide Assurance (FWA).</w:t>
      </w:r>
    </w:p>
    <w:p w14:paraId="464A60D7" w14:textId="258F768B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165752767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institution is not engaged in the research activities.</w:t>
      </w:r>
    </w:p>
    <w:p w14:paraId="271AE122" w14:textId="0BC372F0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3048229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study is determined to not involve </w:t>
      </w:r>
      <w:r>
        <w:rPr>
          <w:rFonts w:cs="Arial"/>
          <w:sz w:val="22"/>
          <w:u w:val="double"/>
        </w:rPr>
        <w:t>Human Research</w:t>
      </w:r>
      <w:r>
        <w:rPr>
          <w:rFonts w:cs="Arial"/>
          <w:sz w:val="22"/>
        </w:rPr>
        <w:t>.</w:t>
      </w:r>
    </w:p>
    <w:p w14:paraId="5B6BCC2A" w14:textId="641D1CC1">
      <w:pPr>
        <w:pStyle w:val="PrimarySectionText-HCG"/>
        <w:spacing w:line="276" w:lineRule="auto"/>
        <w:rPr>
          <w:rFonts w:cs="Arial"/>
          <w:color w:val="767171" w:themeColor="background2" w:themeShade="80"/>
          <w:sz w:val="22"/>
        </w:rPr>
      </w:pPr>
      <w:sdt>
        <w:sdtPr>
          <w:rPr>
            <w:rFonts w:cs="Arial"/>
            <w:sz w:val="22"/>
          </w:rPr>
          <w:id w:val="6214285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study is determined to be Exempt.</w:t>
      </w:r>
    </w:p>
    <w:p w14:paraId="2174201E" w14:textId="6986A9EC">
      <w:pPr>
        <w:pStyle w:val="SectionHeading-HCG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Considerations to Cede IRB Review to Commercial IRBs</w:t>
      </w:r>
    </w:p>
    <w:p w14:paraId="5DBB4573" w14:textId="2F067539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The institution will evaluate on a case-by-case basis ceding IRB review. The following characteristics of the study will be evaluated to determine whether to cede IRB review to a Commercial IRB (e.g., Advarra, WIRB, etc.). (At least one of the following considerations should be true)</w:t>
      </w:r>
    </w:p>
    <w:p w14:paraId="6D856334" w14:textId="0BE0D654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8863379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The project is commercially sponsored research.</w:t>
      </w:r>
    </w:p>
    <w:p w14:paraId="21A6811D" w14:textId="287AC1E9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15888366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institution’s IRB lacks sufficient expertise to conduct the IRB review.</w:t>
      </w:r>
    </w:p>
    <w:p w14:paraId="0BB3E977" w14:textId="6A3B04D3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187390833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institution is the lead site of a multi-site project and the IRB lacks sufficient resources to provide oversight of the project.</w:t>
      </w:r>
    </w:p>
    <w:p w14:paraId="101028FD" w14:textId="01B5839D">
      <w:pPr>
        <w:pStyle w:val="PrimarySectionText-HCG"/>
        <w:spacing w:line="276" w:lineRule="auto"/>
        <w:rPr>
          <w:rFonts w:cs="Arial"/>
          <w:color w:val="767171" w:themeColor="background2" w:themeShade="80"/>
          <w:sz w:val="22"/>
        </w:rPr>
      </w:pPr>
      <w:sdt>
        <w:sdtPr>
          <w:rPr>
            <w:rFonts w:cs="Arial"/>
            <w:sz w:val="22"/>
          </w:rPr>
          <w:id w:val="7312732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Other relevant considerations: </w:t>
      </w:r>
      <w:sdt>
        <w:sdtPr>
          <w:rPr>
            <w:rFonts w:cs="Arial"/>
            <w:color w:val="767171" w:themeColor="background2" w:themeShade="80"/>
            <w:sz w:val="22"/>
          </w:rPr>
          <w:id w:val="2018576476"/>
          <w:placeholder>
            <w:docPart w:val="8E2B20022FFF4CE6BF9A2B870EA2C18F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2F4264B4" w14:textId="1C49B8D9">
      <w:pPr>
        <w:pStyle w:val="SectionHeading-HCG"/>
        <w:numPr>
          <w:ilvl w:val="0"/>
          <w:numId w:val="4"/>
        </w:numPr>
        <w:spacing w:after="0" w:line="276" w:lineRule="auto"/>
        <w:rPr>
          <w:caps w:val="0"/>
          <w:sz w:val="22"/>
          <w:szCs w:val="22"/>
        </w:rPr>
      </w:pPr>
      <w:r>
        <w:rPr>
          <w:sz w:val="22"/>
          <w:szCs w:val="22"/>
        </w:rPr>
        <w:t xml:space="preserve">GENERAL CONSIDERATIONS FOR CEDING IRB REVIEW </w:t>
      </w:r>
      <w:r>
        <w:rPr>
          <w:sz w:val="22"/>
          <w:szCs w:val="22"/>
        </w:rPr>
        <w:t xml:space="preserve">TO </w:t>
      </w:r>
      <w:r>
        <w:rPr>
          <w:sz w:val="22"/>
          <w:szCs w:val="22"/>
        </w:rPr>
        <w:t>OTHER (NON-COMMERCIAL) IRB</w:t>
      </w:r>
      <w:r>
        <w:rPr>
          <w:caps w:val="0"/>
          <w:sz w:val="22"/>
          <w:szCs w:val="22"/>
        </w:rPr>
        <w:t>s</w:t>
      </w:r>
    </w:p>
    <w:p w14:paraId="33C97897" w14:textId="67B1B8B0">
      <w:pPr>
        <w:pStyle w:val="PrimarySectionText-HCG"/>
        <w:spacing w:line="276" w:lineRule="auto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The following are additional considerations for evaluating the institution’s willingness to cede IRB Review to an institution with a valid OHRP-approved Federalwide Assurance (FWA). (At least one of the following considerations should be true)</w:t>
      </w:r>
    </w:p>
    <w:p w14:paraId="58E3E496" w14:textId="017027CB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2921768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Ceding IRB review is mandatory or optional</w:t>
      </w:r>
    </w:p>
    <w:p w14:paraId="07040CCE" w14:textId="1585B91F">
      <w:pPr>
        <w:pStyle w:val="Sub-SectionText-HCG"/>
        <w:spacing w:line="276" w:lineRule="auto"/>
        <w:ind w:left="288" w:firstLine="0"/>
        <w:rPr>
          <w:rFonts w:cs="Arial"/>
          <w:sz w:val="22"/>
        </w:rPr>
      </w:pPr>
      <w:r>
        <w:rPr>
          <w:rFonts w:cs="Arial"/>
          <w:sz w:val="22"/>
        </w:rPr>
        <w:t xml:space="preserve">Comments: </w:t>
      </w:r>
      <w:sdt>
        <w:sdtPr>
          <w:rPr>
            <w:rFonts w:cs="Arial"/>
            <w:sz w:val="22"/>
          </w:rPr>
          <w:id w:val="1074850869"/>
          <w:placeholder>
            <w:docPart w:val="2752A2D0C2FA415D8E3B3B1DCF97C33B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39C53E23" w14:textId="72F966D6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15519140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reviewing IRB has sufficient expertise and experience reviewing and overseeing research of similar nature to the proposed study.</w:t>
      </w:r>
    </w:p>
    <w:p w14:paraId="64EB0A4A" w14:textId="4C054C71">
      <w:pPr>
        <w:pStyle w:val="Sub-SectionText-HCG"/>
        <w:spacing w:line="276" w:lineRule="auto"/>
        <w:ind w:left="288" w:firstLine="0"/>
        <w:rPr>
          <w:rFonts w:cs="Arial"/>
          <w:sz w:val="22"/>
        </w:rPr>
      </w:pPr>
      <w:r>
        <w:rPr>
          <w:rFonts w:cs="Arial"/>
          <w:sz w:val="22"/>
        </w:rPr>
        <w:t xml:space="preserve">Comments: </w:t>
      </w:r>
      <w:sdt>
        <w:sdtPr>
          <w:rPr>
            <w:rFonts w:cs="Arial"/>
            <w:sz w:val="22"/>
          </w:rPr>
          <w:id w:val="1340896824"/>
          <w:placeholder>
            <w:docPart w:val="744FC15B4F7B4AE5A1D9DC200AE8ECF5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5EED90EA" w14:textId="0C25C803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3464470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The reviewing IRB has sufficient expertise with certain features of the protocol or the participant population that may pose special concerns. (</w:t>
      </w:r>
      <w:r>
        <w:rPr>
          <w:rFonts w:cs="Arial"/>
          <w:sz w:val="22"/>
        </w:rPr>
        <w:t>e.g.,</w:t>
      </w:r>
      <w:r>
        <w:rPr>
          <w:rFonts w:cs="Arial"/>
          <w:sz w:val="22"/>
        </w:rPr>
        <w:t xml:space="preserve"> recruitment of socially or economically disenfranchised populations, local cultural mores or unique clinical circumstances)</w:t>
      </w:r>
    </w:p>
    <w:p w14:paraId="7322F62F" w14:textId="452BA1B9">
      <w:pPr>
        <w:pStyle w:val="Sub-SectionText-HCG"/>
        <w:ind w:left="288" w:firstLine="0"/>
        <w:rPr>
          <w:rFonts w:cs="Arial"/>
          <w:sz w:val="22"/>
        </w:rPr>
      </w:pPr>
      <w:r>
        <w:rPr>
          <w:rFonts w:cs="Arial"/>
          <w:sz w:val="22"/>
        </w:rPr>
        <w:t xml:space="preserve">Comments: </w:t>
      </w:r>
      <w:sdt>
        <w:sdtPr>
          <w:rPr>
            <w:rFonts w:cs="Arial"/>
            <w:sz w:val="22"/>
          </w:rPr>
          <w:id w:val="-1890708246"/>
          <w:placeholder>
            <w:docPart w:val="6970C0F86031418292A49C9DCF47EDD8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5ADD56CB" w14:textId="40015D49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25856880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Whether ceding IRB review could create or mitigate unique institutional risks, such as conflicts of interest.</w:t>
      </w:r>
    </w:p>
    <w:p w14:paraId="480D4645" w14:textId="77777777">
      <w:pPr>
        <w:pStyle w:val="Sub-SectionText-HCG"/>
        <w:spacing w:line="276" w:lineRule="auto"/>
        <w:ind w:left="288" w:firstLine="0"/>
        <w:rPr>
          <w:rFonts w:cs="Arial"/>
          <w:sz w:val="22"/>
        </w:rPr>
      </w:pPr>
      <w:r>
        <w:rPr>
          <w:rFonts w:cs="Arial"/>
          <w:sz w:val="22"/>
        </w:rPr>
        <w:t xml:space="preserve">Comments: </w:t>
      </w:r>
      <w:sdt>
        <w:sdtPr>
          <w:rPr>
            <w:rFonts w:cs="Arial"/>
            <w:sz w:val="22"/>
          </w:rPr>
          <w:id w:val="-755817898"/>
          <w:placeholder>
            <w:docPart w:val="A0229071D7FA48ACBED57EB142428A62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53B0CAB2" w14:textId="77777777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0016971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financial implications of the decision—this includes:  </w:t>
      </w:r>
    </w:p>
    <w:p w14:paraId="405CDFA9" w14:textId="1B4DD57A">
      <w:pPr>
        <w:pStyle w:val="PrimarySectionText-HCG"/>
        <w:spacing w:line="276" w:lineRule="auto"/>
        <w:ind w:left="576"/>
        <w:rPr>
          <w:rFonts w:cs="Arial"/>
          <w:sz w:val="22"/>
        </w:rPr>
      </w:pPr>
      <w:r>
        <w:rPr>
          <w:rFonts w:cs="Arial"/>
          <w:sz w:val="22"/>
        </w:rPr>
        <w:t>a) analysis of lost research opportunities (</w:t>
      </w:r>
      <w:r>
        <w:rPr>
          <w:rFonts w:cs="Arial"/>
          <w:sz w:val="22"/>
        </w:rPr>
        <w:t>i.e.,</w:t>
      </w:r>
      <w:r>
        <w:rPr>
          <w:rFonts w:cs="Arial"/>
          <w:sz w:val="22"/>
        </w:rPr>
        <w:t xml:space="preserve"> unwillingness of a sponsor or funder to allow local, non-ceded IRB review);</w:t>
      </w:r>
    </w:p>
    <w:p w14:paraId="5A30138F" w14:textId="45FD3DCC">
      <w:pPr>
        <w:pStyle w:val="PrimarySectionText-HCG"/>
        <w:spacing w:line="276" w:lineRule="auto"/>
        <w:ind w:left="576"/>
        <w:rPr>
          <w:rFonts w:cs="Arial"/>
          <w:sz w:val="22"/>
        </w:rPr>
      </w:pPr>
      <w:r>
        <w:rPr>
          <w:rFonts w:cs="Arial"/>
          <w:sz w:val="22"/>
        </w:rPr>
        <w:t>b) the additional administrative time and costs associated with establishing authorization agreements.</w:t>
      </w:r>
    </w:p>
    <w:p w14:paraId="016B34DD" w14:textId="77777777">
      <w:pPr>
        <w:pStyle w:val="Sub-SectionText-HCG"/>
        <w:spacing w:line="276" w:lineRule="auto"/>
        <w:ind w:left="288" w:firstLine="0"/>
        <w:rPr>
          <w:rFonts w:cs="Arial"/>
          <w:sz w:val="22"/>
        </w:rPr>
      </w:pPr>
      <w:r>
        <w:rPr>
          <w:rFonts w:cs="Arial"/>
          <w:sz w:val="22"/>
        </w:rPr>
        <w:t xml:space="preserve">Comments: </w:t>
      </w:r>
      <w:sdt>
        <w:sdtPr>
          <w:rPr>
            <w:rFonts w:cs="Arial"/>
            <w:sz w:val="22"/>
          </w:rPr>
          <w:id w:val="-620998718"/>
          <w:placeholder>
            <w:docPart w:val="B29B184F184F4D67A8F2415A2A5B9D85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636CF9F6" w14:textId="77777777">
      <w:pPr>
        <w:pStyle w:val="PrimarySectionText-HCG"/>
        <w:spacing w:line="276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494999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Resources needed by the study team to learn and adhere to the policies and procedures of the reviewing IRB.</w:t>
      </w:r>
    </w:p>
    <w:p w14:paraId="69EAE83B" w14:textId="6432C40F">
      <w:pPr>
        <w:pStyle w:val="PrimarySectionText-HCG"/>
        <w:spacing w:line="276" w:lineRule="auto"/>
        <w:ind w:left="576"/>
        <w:rPr>
          <w:rFonts w:cs="Arial"/>
          <w:sz w:val="22"/>
        </w:rPr>
      </w:pPr>
      <w:r>
        <w:rPr>
          <w:rFonts w:cs="Arial"/>
          <w:sz w:val="22"/>
        </w:rPr>
        <w:t xml:space="preserve">Comments: </w:t>
      </w:r>
      <w:sdt>
        <w:sdtPr>
          <w:rPr>
            <w:rFonts w:cs="Arial"/>
            <w:sz w:val="22"/>
          </w:rPr>
          <w:id w:val="1139843781"/>
          <w:placeholder>
            <w:docPart w:val="AED15D64744E44EEAF728E636A5A1214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sectPr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4AC" w:rsidP="00855EE6" w:rsidRDefault="004254AC" w14:paraId="57E4F37E" w14:textId="77777777">
      <w:pPr>
        <w:spacing w:after="0" w:line="240" w:lineRule="auto"/>
      </w:pPr>
      <w:r>
        <w:separator/>
      </w:r>
    </w:p>
  </w:endnote>
  <w:endnote w:type="continuationSeparator" w:id="0">
    <w:p w:rsidR="004254AC" w:rsidP="00855EE6" w:rsidRDefault="004254AC" w14:paraId="01BCB38B" w14:textId="77777777">
      <w:pPr>
        <w:spacing w:after="0" w:line="240" w:lineRule="auto"/>
      </w:pPr>
      <w:r>
        <w:continuationSeparator/>
      </w:r>
    </w:p>
  </w:endnote>
  <w:endnote w:type="continuationNotice" w:id="1">
    <w:p w:rsidR="004254AC" w:rsidRDefault="004254AC" w14:paraId="2A3E1DB2" w14:textId="77777777">
      <w:pPr>
        <w:spacing w:after="0" w:line="240" w:lineRule="auto"/>
      </w:pPr>
    </w:p>
  </w:endnote>
  <w:endnote w:id="2">
    <w:p w14:paraId="6D970494" w14:textId="7302916C">
      <w:pPr>
        <w:pStyle w:val="EndnoteText"/>
        <w:rPr>
          <w:rFonts w:ascii="Arial" w:hAnsi="Arial" w:cs="Arial"/>
        </w:rPr>
      </w:pPr>
      <w:r>
        <w:rPr>
          <w:rStyle w:val="EndnoteReference"/>
          <w:rFonts w:ascii="Arial" w:hAnsi="Arial" w:cs="Arial"/>
        </w:rPr>
        <w:endnoteRef/>
      </w:r>
      <w:r>
        <w:rPr>
          <w:rFonts w:ascii="Arial" w:hAnsi="Arial" w:cs="Arial"/>
        </w:rPr>
        <w:t xml:space="preserve"> This document satisfies AAHRPP element I-9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5521" w14:textId="68A37A92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Page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PAGE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noProof/>
        <w:color w:val="717275"/>
        <w:sz w:val="18"/>
        <w:szCs w:val="18"/>
      </w:rPr>
      <w:t>1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 of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NUMPAGES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noProof/>
        <w:color w:val="717275"/>
        <w:sz w:val="18"/>
        <w:szCs w:val="18"/>
      </w:rPr>
      <w:t>2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</w:p>
  <w:p w14:paraId="2058419E" w14:textId="39810D6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2058419E" w14:textId="39810D6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7DBC" w14:textId="77777777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Page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PAGE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2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 xml:space="preserve"> of 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begin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instrText xml:space="preserve"> NUMPAGES  \* Arabic  \* MERGEFORMAT </w:instrTex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separate"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2</w:t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fldChar w:fldCharType="end"/>
    </w:r>
  </w:p>
  <w:p w14:paraId="31932AEF" w14:textId="6B887DE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31932AEF" w14:textId="6B887DE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4AC" w:rsidP="00855EE6" w:rsidRDefault="004254AC" w14:paraId="0420FE6A" w14:textId="77777777">
      <w:pPr>
        <w:spacing w:after="0" w:line="240" w:lineRule="auto"/>
      </w:pPr>
      <w:r>
        <w:separator/>
      </w:r>
    </w:p>
  </w:footnote>
  <w:footnote w:type="continuationSeparator" w:id="0">
    <w:p w:rsidR="004254AC" w:rsidP="00855EE6" w:rsidRDefault="004254AC" w14:paraId="4EDAFBD0" w14:textId="77777777">
      <w:pPr>
        <w:spacing w:after="0" w:line="240" w:lineRule="auto"/>
      </w:pPr>
      <w:r>
        <w:continuationSeparator/>
      </w:r>
    </w:p>
  </w:footnote>
  <w:footnote w:type="continuationNotice" w:id="1">
    <w:p w:rsidR="004254AC" w:rsidRDefault="004254AC" w14:paraId="5D1ED02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0BE" w14:textId="313D63BE">
    <w:pPr>
      <w:pStyle w:val="Header"/>
      <w:jc w:val="center"/>
      <w:rPr>
        <w:noProof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CFA1" w14:textId="799E3989">
    <w:pPr>
      <w:pStyle w:val="Header"/>
      <w:jc w:val="center"/>
    </w:pP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678a215872ea4f69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35863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F9028C"/>
    <w:multiLevelType w:val="hybridMultilevel"/>
    <w:tmpl w:val="2108A48A"/>
    <w:lvl w:ilvl="0" w:tplc="29F63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82366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4553A"/>
    <w:rsid w:val="000703B1"/>
    <w:rsid w:val="00073852"/>
    <w:rsid w:val="00082AFF"/>
    <w:rsid w:val="00095BC7"/>
    <w:rsid w:val="000A3A95"/>
    <w:rsid w:val="000D28A3"/>
    <w:rsid w:val="000E220B"/>
    <w:rsid w:val="000F5F1B"/>
    <w:rsid w:val="00112F1A"/>
    <w:rsid w:val="0014069F"/>
    <w:rsid w:val="0014575E"/>
    <w:rsid w:val="00150F7C"/>
    <w:rsid w:val="00167C7E"/>
    <w:rsid w:val="00174BA8"/>
    <w:rsid w:val="00175254"/>
    <w:rsid w:val="00191B05"/>
    <w:rsid w:val="00197512"/>
    <w:rsid w:val="001A55AA"/>
    <w:rsid w:val="001F0F3C"/>
    <w:rsid w:val="00215022"/>
    <w:rsid w:val="00216912"/>
    <w:rsid w:val="002312F9"/>
    <w:rsid w:val="0024381C"/>
    <w:rsid w:val="00272E9B"/>
    <w:rsid w:val="00285E51"/>
    <w:rsid w:val="002A0DD4"/>
    <w:rsid w:val="002B681F"/>
    <w:rsid w:val="00326970"/>
    <w:rsid w:val="00330078"/>
    <w:rsid w:val="00352CEA"/>
    <w:rsid w:val="0035722D"/>
    <w:rsid w:val="003977F8"/>
    <w:rsid w:val="003C528C"/>
    <w:rsid w:val="003E2DAE"/>
    <w:rsid w:val="003E5A34"/>
    <w:rsid w:val="003E5AE2"/>
    <w:rsid w:val="003F55DC"/>
    <w:rsid w:val="00413B76"/>
    <w:rsid w:val="004254AC"/>
    <w:rsid w:val="00433C87"/>
    <w:rsid w:val="00494466"/>
    <w:rsid w:val="004B05DE"/>
    <w:rsid w:val="004E3DAC"/>
    <w:rsid w:val="004E7865"/>
    <w:rsid w:val="004F67CE"/>
    <w:rsid w:val="00512CDD"/>
    <w:rsid w:val="005221C5"/>
    <w:rsid w:val="0053705E"/>
    <w:rsid w:val="005537B3"/>
    <w:rsid w:val="00574059"/>
    <w:rsid w:val="00574247"/>
    <w:rsid w:val="005C67B4"/>
    <w:rsid w:val="0060422E"/>
    <w:rsid w:val="00612FDA"/>
    <w:rsid w:val="0062282F"/>
    <w:rsid w:val="00624162"/>
    <w:rsid w:val="00625EFE"/>
    <w:rsid w:val="00634103"/>
    <w:rsid w:val="00636276"/>
    <w:rsid w:val="00640035"/>
    <w:rsid w:val="00650A58"/>
    <w:rsid w:val="00675EB8"/>
    <w:rsid w:val="0068100B"/>
    <w:rsid w:val="00693DB4"/>
    <w:rsid w:val="006B6802"/>
    <w:rsid w:val="006C3173"/>
    <w:rsid w:val="006C4D75"/>
    <w:rsid w:val="006D056E"/>
    <w:rsid w:val="006D7198"/>
    <w:rsid w:val="006F23D2"/>
    <w:rsid w:val="007169B3"/>
    <w:rsid w:val="00721646"/>
    <w:rsid w:val="00724781"/>
    <w:rsid w:val="007469E0"/>
    <w:rsid w:val="0075363C"/>
    <w:rsid w:val="00754D60"/>
    <w:rsid w:val="00793512"/>
    <w:rsid w:val="007A0635"/>
    <w:rsid w:val="007B7D07"/>
    <w:rsid w:val="007F0DF8"/>
    <w:rsid w:val="0081449F"/>
    <w:rsid w:val="008144F2"/>
    <w:rsid w:val="00821C23"/>
    <w:rsid w:val="0084152D"/>
    <w:rsid w:val="00855EE6"/>
    <w:rsid w:val="00856556"/>
    <w:rsid w:val="0086083E"/>
    <w:rsid w:val="00872DA6"/>
    <w:rsid w:val="00893D51"/>
    <w:rsid w:val="008A725F"/>
    <w:rsid w:val="008B0231"/>
    <w:rsid w:val="008B2C31"/>
    <w:rsid w:val="008B32E5"/>
    <w:rsid w:val="008B3D20"/>
    <w:rsid w:val="008F0181"/>
    <w:rsid w:val="00914425"/>
    <w:rsid w:val="00917358"/>
    <w:rsid w:val="0093256C"/>
    <w:rsid w:val="00933B0E"/>
    <w:rsid w:val="00977236"/>
    <w:rsid w:val="00995E3E"/>
    <w:rsid w:val="009A0610"/>
    <w:rsid w:val="009B3CED"/>
    <w:rsid w:val="009C1EE8"/>
    <w:rsid w:val="00A000F6"/>
    <w:rsid w:val="00A05802"/>
    <w:rsid w:val="00A2107D"/>
    <w:rsid w:val="00A366C9"/>
    <w:rsid w:val="00A40527"/>
    <w:rsid w:val="00A503C7"/>
    <w:rsid w:val="00A542B7"/>
    <w:rsid w:val="00A6254D"/>
    <w:rsid w:val="00A63E37"/>
    <w:rsid w:val="00AA1136"/>
    <w:rsid w:val="00AA4BF9"/>
    <w:rsid w:val="00AC2F0C"/>
    <w:rsid w:val="00B23768"/>
    <w:rsid w:val="00B23D93"/>
    <w:rsid w:val="00B321B1"/>
    <w:rsid w:val="00B3789E"/>
    <w:rsid w:val="00B54DF7"/>
    <w:rsid w:val="00B61F4A"/>
    <w:rsid w:val="00B713EE"/>
    <w:rsid w:val="00BB2AC7"/>
    <w:rsid w:val="00BD5778"/>
    <w:rsid w:val="00BF2F85"/>
    <w:rsid w:val="00BF7712"/>
    <w:rsid w:val="00C062CD"/>
    <w:rsid w:val="00C11900"/>
    <w:rsid w:val="00C35225"/>
    <w:rsid w:val="00C71BCF"/>
    <w:rsid w:val="00C75CAF"/>
    <w:rsid w:val="00C82986"/>
    <w:rsid w:val="00CB022C"/>
    <w:rsid w:val="00CC48B8"/>
    <w:rsid w:val="00CD29B1"/>
    <w:rsid w:val="00CE7767"/>
    <w:rsid w:val="00CF4395"/>
    <w:rsid w:val="00D134E0"/>
    <w:rsid w:val="00D25269"/>
    <w:rsid w:val="00D35E6A"/>
    <w:rsid w:val="00D41DBC"/>
    <w:rsid w:val="00D61F2C"/>
    <w:rsid w:val="00DA1657"/>
    <w:rsid w:val="00DC7443"/>
    <w:rsid w:val="00DF28E9"/>
    <w:rsid w:val="00DF6158"/>
    <w:rsid w:val="00E0288C"/>
    <w:rsid w:val="00E33C34"/>
    <w:rsid w:val="00E34769"/>
    <w:rsid w:val="00E36E4B"/>
    <w:rsid w:val="00E43248"/>
    <w:rsid w:val="00E639D2"/>
    <w:rsid w:val="00E808A1"/>
    <w:rsid w:val="00E81E77"/>
    <w:rsid w:val="00EA0FDB"/>
    <w:rsid w:val="00EB2F47"/>
    <w:rsid w:val="00EE39FA"/>
    <w:rsid w:val="00EF009B"/>
    <w:rsid w:val="00EF2C8D"/>
    <w:rsid w:val="00EF642F"/>
    <w:rsid w:val="00F116D8"/>
    <w:rsid w:val="00F40567"/>
    <w:rsid w:val="00F552D7"/>
    <w:rsid w:val="00F82CC6"/>
    <w:rsid w:val="00F84AEF"/>
    <w:rsid w:val="00F93345"/>
    <w:rsid w:val="00FA21B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table" w:styleId="GrayBandedRowTable-HCG" w:customStyle="1">
    <w:name w:val="Gray Banded Row Table - HCG"/>
    <w:basedOn w:val="TableNormal"/>
    <w:uiPriority w:val="99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color="AEAAAA" w:themeColor="background2" w:themeShade="BF" w:sz="4" w:space="0"/>
        <w:left w:val="single" w:color="AEAAAA" w:themeColor="background2" w:themeShade="BF" w:sz="4" w:space="0"/>
        <w:bottom w:val="single" w:color="AEAAAA" w:themeColor="background2" w:themeShade="BF" w:sz="4" w:space="0"/>
        <w:right w:val="single" w:color="AEAAAA" w:themeColor="background2" w:themeShade="BF" w:sz="4" w:space="0"/>
        <w:insideH w:val="single" w:color="AEAAAA" w:themeColor="background2" w:themeShade="BF" w:sz="4" w:space="0"/>
        <w:insideV w:val="single" w:color="AEAAAA" w:themeColor="background2" w:themeShade="BF" w:sz="4" w:space="0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color="AEAAAA" w:themeColor="background2" w:themeShade="BF" w:sz="4" w:space="0"/>
          <w:left w:val="single" w:color="AEAAAA" w:themeColor="background2" w:themeShade="BF" w:sz="4" w:space="0"/>
          <w:bottom w:val="single" w:color="AEAAAA" w:themeColor="background2" w:themeShade="BF" w:sz="4" w:space="0"/>
          <w:right w:val="single" w:color="AEAAAA" w:themeColor="background2" w:themeShade="BF" w:sz="4" w:space="0"/>
          <w:insideH w:val="single" w:color="AEAAAA" w:themeColor="background2" w:themeShade="BF" w:sz="4" w:space="0"/>
          <w:insideV w:val="single" w:color="AEAAAA" w:themeColor="background2" w:themeShade="BF" w:sz="4" w:space="0"/>
        </w:tcBorders>
        <w:shd w:val="clear" w:color="auto" w:fill="BFBFBF" w:themeFill="background1" w:themeFillShade="BF"/>
      </w:tcPr>
    </w:tblStylePr>
  </w:style>
  <w:style w:type="paragraph" w:styleId="EndnoteText">
    <w:name w:val="endnote text"/>
    <w:basedOn w:val="Normal"/>
    <w:link w:val="EndnoteTextChar"/>
    <w:semiHidden/>
    <w:pPr>
      <w:spacing w:after="0" w:line="240" w:lineRule="auto"/>
      <w:ind w:left="216" w:hanging="216"/>
    </w:pPr>
    <w:rPr>
      <w:rFonts w:ascii="Times New Roman" w:hAnsi="Times New Roman" w:eastAsia="Times New Roman" w:cs="Times New Roman"/>
      <w:sz w:val="18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Pr>
      <w:rFonts w:ascii="Times New Roman" w:hAnsi="Times New Roman" w:eastAsia="Times New Roman" w:cs="Times New Roman"/>
      <w:sz w:val="18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StatementLevel1" w:customStyle="1">
    <w:name w:val="Statement Level 1"/>
    <w:basedOn w:val="Normal"/>
    <w:link w:val="StatementLevel1Char"/>
    <w:pPr>
      <w:spacing w:after="0" w:line="240" w:lineRule="auto"/>
    </w:pPr>
    <w:rPr>
      <w:rFonts w:ascii="Arial Narrow" w:hAnsi="Arial Narrow" w:eastAsia="Times New Roman" w:cs="Times New Roman"/>
      <w:sz w:val="20"/>
      <w:szCs w:val="24"/>
    </w:rPr>
  </w:style>
  <w:style w:type="character" w:styleId="StatementLevel1Char" w:customStyle="1">
    <w:name w:val="Statement Level 1 Char"/>
    <w:link w:val="StatementLevel1"/>
    <w:rPr>
      <w:rFonts w:ascii="Arial Narrow" w:hAnsi="Arial Narrow" w:eastAsia="Times New Roman" w:cs="Times New Roman"/>
      <w:sz w:val="20"/>
      <w:szCs w:val="24"/>
    </w:rPr>
  </w:style>
  <w:style w:type="character" w:styleId="ChecklistLeader" w:customStyle="1">
    <w:name w:val="Checklist Leader"/>
    <w:rPr>
      <w:rFonts w:ascii="Arial Narrow" w:hAnsi="Arial Narrow"/>
      <w:b/>
      <w:sz w:val="24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semiHidden/>
    <w:rPr>
      <w:color w:val="0000FF"/>
      <w:u w:val="single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bin" Id="R678a215872ea4f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2B20022FFF4CE6BF9A2B870EA2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AAED-3802-40EF-90FE-ACF11A247D72}"/>
      </w:docPartPr>
      <w:docPartBody>
        <w:p w:rsidR="00DC7C6A" w:rsidP="00D20858" w:rsidRDefault="00D20858">
          <w:pPr>
            <w:pStyle w:val="8E2B20022FFF4CE6BF9A2B870EA2C18F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752A2D0C2FA415D8E3B3B1DCF97C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B0C4-3D0D-4327-890C-2007D1FE4466}"/>
      </w:docPartPr>
      <w:docPartBody>
        <w:p w:rsidR="00DC7C6A" w:rsidP="00D20858" w:rsidRDefault="00D20858">
          <w:pPr>
            <w:pStyle w:val="2752A2D0C2FA415D8E3B3B1DCF97C33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44FC15B4F7B4AE5A1D9DC200AE8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FF90-2767-455E-A51A-8A13F91B3F9D}"/>
      </w:docPartPr>
      <w:docPartBody>
        <w:p w:rsidR="00DC7C6A" w:rsidP="00D20858" w:rsidRDefault="00D20858">
          <w:pPr>
            <w:pStyle w:val="744FC15B4F7B4AE5A1D9DC200AE8ECF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970C0F86031418292A49C9DCF47E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EA32-93D8-44E4-9E70-13B7B631E0CB}"/>
      </w:docPartPr>
      <w:docPartBody>
        <w:p w:rsidR="00DC7C6A" w:rsidP="00D20858" w:rsidRDefault="00D20858">
          <w:pPr>
            <w:pStyle w:val="6970C0F86031418292A49C9DCF47EDD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0229071D7FA48ACBED57EB14242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3BB52-563E-40C8-9391-96D41E1F1B82}"/>
      </w:docPartPr>
      <w:docPartBody>
        <w:p w:rsidR="00DC7C6A" w:rsidP="00D20858" w:rsidRDefault="00D20858">
          <w:pPr>
            <w:pStyle w:val="A0229071D7FA48ACBED57EB142428A62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B29B184F184F4D67A8F2415A2A5B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5CAE-3822-4AC4-84DC-612B0AE5F870}"/>
      </w:docPartPr>
      <w:docPartBody>
        <w:p w:rsidR="00DC7C6A" w:rsidP="00D20858" w:rsidRDefault="00D20858">
          <w:pPr>
            <w:pStyle w:val="B29B184F184F4D67A8F2415A2A5B9D8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ED15D64744E44EEAF728E636A5A1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F5825-40B4-4913-8E8D-F252407D99E8}"/>
      </w:docPartPr>
      <w:docPartBody>
        <w:p w:rsidR="00DC7C6A" w:rsidP="00D20858" w:rsidRDefault="00D20858">
          <w:pPr>
            <w:pStyle w:val="AED15D64744E44EEAF728E636A5A121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7F"/>
    <w:rsid w:val="00190C7F"/>
    <w:rsid w:val="00591F74"/>
    <w:rsid w:val="00781D97"/>
    <w:rsid w:val="00C629B8"/>
    <w:rsid w:val="00D20858"/>
    <w:rsid w:val="00DC7C6A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858"/>
    <w:rPr>
      <w:color w:val="808080"/>
    </w:rPr>
  </w:style>
  <w:style w:type="paragraph" w:styleId="8E2B20022FFF4CE6BF9A2B870EA2C18F" w:customStyle="1">
    <w:name w:val="8E2B20022FFF4CE6BF9A2B870EA2C18F"/>
    <w:rsid w:val="00D20858"/>
  </w:style>
  <w:style w:type="paragraph" w:styleId="2752A2D0C2FA415D8E3B3B1DCF97C33B" w:customStyle="1">
    <w:name w:val="2752A2D0C2FA415D8E3B3B1DCF97C33B"/>
    <w:rsid w:val="00D20858"/>
  </w:style>
  <w:style w:type="paragraph" w:styleId="744FC15B4F7B4AE5A1D9DC200AE8ECF5" w:customStyle="1">
    <w:name w:val="744FC15B4F7B4AE5A1D9DC200AE8ECF5"/>
    <w:rsid w:val="00D20858"/>
  </w:style>
  <w:style w:type="paragraph" w:styleId="6970C0F86031418292A49C9DCF47EDD8" w:customStyle="1">
    <w:name w:val="6970C0F86031418292A49C9DCF47EDD8"/>
    <w:rsid w:val="00D20858"/>
  </w:style>
  <w:style w:type="paragraph" w:styleId="A0229071D7FA48ACBED57EB142428A62" w:customStyle="1">
    <w:name w:val="A0229071D7FA48ACBED57EB142428A62"/>
    <w:rsid w:val="00D20858"/>
  </w:style>
  <w:style w:type="paragraph" w:styleId="B29B184F184F4D67A8F2415A2A5B9D85" w:customStyle="1">
    <w:name w:val="B29B184F184F4D67A8F2415A2A5B9D85"/>
    <w:rsid w:val="00D20858"/>
  </w:style>
  <w:style w:type="paragraph" w:styleId="AED15D64744E44EEAF728E636A5A1214" w:customStyle="1">
    <w:name w:val="AED15D64744E44EEAF728E636A5A1214"/>
    <w:rsid w:val="00D20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F7EB8-7F70-49DB-9D6D-2724DEF91F4B}"/>
</file>

<file path=customXml/itemProps2.xml><?xml version="1.0" encoding="utf-8"?>
<ds:datastoreItem xmlns:ds="http://schemas.openxmlformats.org/officeDocument/2006/customXml" ds:itemID="{B3528D5E-95F3-4D5C-99B3-9C4AD017A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B5996-4ACF-4482-B5D5-6C6045AB771B}">
  <ds:schemaRefs>
    <ds:schemaRef ds:uri="07b1ed27-4a09-479f-8bd2-5a0f6f9bbe93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c515ec7-3e6c-4e38-8eb4-62fcbe95786e"/>
  </ds:schemaRefs>
</ds:datastoreItem>
</file>

<file path=customXml/itemProps4.xml><?xml version="1.0" encoding="utf-8"?>
<ds:datastoreItem xmlns:ds="http://schemas.openxmlformats.org/officeDocument/2006/customXml" ds:itemID="{A405DB00-EB12-48BA-B830-F8210600DAE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433</ap:Words>
  <ap:Characters>2472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2900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2022-08-01T19:49:00Z</dcterms:created>
  <dcterms:modified xsi:type="dcterms:W3CDTF">2022-12-12T02:15:00Z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