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31E9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>INFORMATION ITEM</w:t>
      </w:r>
    </w:p>
    <w:p w14:paraId="56334BE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71BA2A3F" w14:textId="77777777">
      <w:pPr>
        <w:rPr>
          <w:rFonts w:ascii="Arial" w:hAnsi="Arial" w:cs="Arial"/>
          <w:sz w:val="22"/>
          <w:szCs w:val="22"/>
        </w:rPr>
      </w:pPr>
    </w:p>
    <w:p w14:paraId="50814345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09FE94F2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06A4CA74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7AF78301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0469A66B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&lt;Email Address of Principal Investigator&gt;</w:t>
      </w:r>
    </w:p>
    <w:p w14:paraId="6421FD75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10071474" w14:textId="0271E74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&lt;Review Date&gt;, </w:t>
      </w:r>
      <w:r>
        <w:rPr>
          <w:rFonts w:ascii="Arial" w:hAnsi="Arial" w:cs="Arial"/>
          <w:sz w:val="22"/>
          <w:szCs w:val="22"/>
        </w:rPr>
        <w:t xml:space="preserve">the IRB </w:t>
      </w:r>
      <w:r>
        <w:rPr>
          <w:rFonts w:ascii="Arial" w:hAnsi="Arial" w:cs="Arial"/>
          <w:sz w:val="22"/>
          <w:szCs w:val="22"/>
        </w:rPr>
        <w:t>reviewed</w:t>
      </w:r>
      <w:r>
        <w:rPr>
          <w:rFonts w:ascii="Arial" w:hAnsi="Arial" w:cs="Arial"/>
          <w:sz w:val="22"/>
          <w:szCs w:val="22"/>
        </w:rPr>
        <w:t xml:space="preserve"> the following information item(s):</w:t>
      </w:r>
    </w:p>
    <w:p w14:paraId="7AA854E5" w14:textId="77777777">
      <w:pPr>
        <w:numPr>
          <w:ilvl w:val="0"/>
          <w:numId w:val="3"/>
        </w:num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&lt;briefly describe items&gt;</w:t>
      </w:r>
    </w:p>
    <w:p w14:paraId="26CDBC38" w14:textId="680C36AF">
      <w:pPr>
        <w:keepNext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regarding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5D5CFB79" w14:textId="77777777">
        <w:tc>
          <w:tcPr>
            <w:tcW w:w="2705" w:type="dxa"/>
          </w:tcPr>
          <w:p w14:paraId="7609F456" w14:textId="41023D5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Information</w:t>
            </w:r>
          </w:p>
        </w:tc>
        <w:tc>
          <w:tcPr>
            <w:tcW w:w="5485" w:type="dxa"/>
          </w:tcPr>
          <w:p w14:paraId="76EF820C" w14:textId="491EB8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Details</w:t>
            </w:r>
          </w:p>
        </w:tc>
      </w:tr>
      <w:tr w14:paraId="1F457456" w14:textId="77777777">
        <w:tc>
          <w:tcPr>
            <w:tcW w:w="2705" w:type="dxa"/>
          </w:tcPr>
          <w:p w14:paraId="3DBA80E4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36EF8EC9" w14:textId="776550C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Initial, Continuing, or Modification&gt;</w:t>
            </w:r>
          </w:p>
        </w:tc>
      </w:tr>
      <w:tr w14:paraId="49F1FE1E" w14:textId="77777777">
        <w:tc>
          <w:tcPr>
            <w:tcW w:w="2705" w:type="dxa"/>
          </w:tcPr>
          <w:p w14:paraId="468CCD6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485" w:type="dxa"/>
          </w:tcPr>
          <w:p w14:paraId="22AFB651" w14:textId="397093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34AEC2E" w14:textId="77777777">
        <w:tc>
          <w:tcPr>
            <w:tcW w:w="2705" w:type="dxa"/>
          </w:tcPr>
          <w:p w14:paraId="48C8A7B1" w14:textId="7791B9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Submitted by:</w:t>
            </w:r>
          </w:p>
        </w:tc>
        <w:tc>
          <w:tcPr>
            <w:tcW w:w="5485" w:type="dxa"/>
          </w:tcPr>
          <w:p w14:paraId="54D610AF" w14:textId="2EDD29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BAA0167" w14:textId="77777777">
        <w:tc>
          <w:tcPr>
            <w:tcW w:w="2705" w:type="dxa"/>
          </w:tcPr>
          <w:p w14:paraId="323E4D78" w14:textId="5EA145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Party:</w:t>
            </w:r>
          </w:p>
        </w:tc>
        <w:tc>
          <w:tcPr>
            <w:tcW w:w="5485" w:type="dxa"/>
          </w:tcPr>
          <w:p w14:paraId="1B2EC0E0" w14:textId="75A08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E6AF5CD" w14:textId="77777777">
        <w:tc>
          <w:tcPr>
            <w:tcW w:w="2705" w:type="dxa"/>
          </w:tcPr>
          <w:p w14:paraId="400DAAAD" w14:textId="5CC3D2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ID:</w:t>
            </w:r>
          </w:p>
        </w:tc>
        <w:tc>
          <w:tcPr>
            <w:tcW w:w="5485" w:type="dxa"/>
          </w:tcPr>
          <w:p w14:paraId="6759785A" w14:textId="7713F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F772FD0" w14:textId="77777777">
        <w:tc>
          <w:tcPr>
            <w:tcW w:w="2705" w:type="dxa"/>
          </w:tcPr>
          <w:p w14:paraId="1864A2E6" w14:textId="09F706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Reporting Site ID: </w:t>
            </w:r>
          </w:p>
        </w:tc>
        <w:tc>
          <w:tcPr>
            <w:tcW w:w="5485" w:type="dxa"/>
          </w:tcPr>
          <w:p w14:paraId="67CA1AE8" w14:textId="53A678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8BE49FB" w14:textId="77777777">
        <w:tc>
          <w:tcPr>
            <w:tcW w:w="2705" w:type="dxa"/>
          </w:tcPr>
          <w:p w14:paraId="2A72303B" w14:textId="0897F6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Reporting Site:</w:t>
            </w:r>
          </w:p>
        </w:tc>
        <w:tc>
          <w:tcPr>
            <w:tcW w:w="5485" w:type="dxa"/>
          </w:tcPr>
          <w:p w14:paraId="79B10FF6" w14:textId="34778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</w:tbl>
    <w:p w14:paraId="4519A2F4" w14:textId="77777777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IRB determined that this information &lt;</w:t>
      </w:r>
      <w:r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>/is not any of the following&gt;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 xml:space="preserve">&lt;delete all that </w:t>
      </w:r>
      <w:r>
        <w:rPr>
          <w:rFonts w:ascii="Arial" w:hAnsi="Arial" w:cs="Arial"/>
          <w:i/>
          <w:sz w:val="22"/>
          <w:szCs w:val="22"/>
        </w:rPr>
        <w:t xml:space="preserve">do not </w:t>
      </w:r>
      <w:r>
        <w:rPr>
          <w:rFonts w:ascii="Arial" w:hAnsi="Arial" w:cs="Arial"/>
          <w:i/>
          <w:sz w:val="22"/>
          <w:szCs w:val="22"/>
        </w:rPr>
        <w:t>apply&gt;</w:t>
      </w:r>
    </w:p>
    <w:p w14:paraId="038D39B2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unanticipated problem involvi</w:t>
      </w:r>
      <w:r>
        <w:rPr>
          <w:rFonts w:ascii="Arial" w:hAnsi="Arial" w:cs="Arial"/>
          <w:sz w:val="22"/>
          <w:szCs w:val="22"/>
        </w:rPr>
        <w:t>ng risks to subjects or others</w:t>
      </w:r>
    </w:p>
    <w:p w14:paraId="5BEB06FA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Serious or continuing non-compliance with the regulations or the requirements or determinations of the IRB</w:t>
      </w:r>
    </w:p>
    <w:p w14:paraId="62779031" w14:textId="77777777">
      <w:pPr>
        <w:numPr>
          <w:ilvl w:val="0"/>
          <w:numId w:val="1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suspension</w:t>
      </w:r>
      <w:r>
        <w:rPr>
          <w:rFonts w:ascii="Arial" w:hAnsi="Arial" w:cs="Arial"/>
          <w:sz w:val="22"/>
          <w:szCs w:val="22"/>
        </w:rPr>
        <w:t xml:space="preserve"> or termination of IRB approval</w:t>
      </w:r>
    </w:p>
    <w:p w14:paraId="1FE38CCE" w14:textId="7777777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IRB requests the following</w:t>
      </w:r>
      <w:r>
        <w:rPr>
          <w:rFonts w:ascii="Arial" w:hAnsi="Arial" w:cs="Arial"/>
          <w:sz w:val="22"/>
          <w:szCs w:val="22"/>
        </w:rPr>
        <w:t xml:space="preserve"> additional</w:t>
      </w:r>
      <w:r>
        <w:rPr>
          <w:rFonts w:ascii="Arial" w:hAnsi="Arial" w:cs="Arial"/>
          <w:sz w:val="22"/>
          <w:szCs w:val="22"/>
        </w:rPr>
        <w:t xml:space="preserve"> information:</w:t>
      </w:r>
    </w:p>
    <w:p w14:paraId="0F06B67C" w14:textId="12CC8D77">
      <w:pPr>
        <w:numPr>
          <w:ilvl w:val="0"/>
          <w:numId w:val="4"/>
        </w:numPr>
        <w:tabs>
          <w:tab w:val="clear" w:pos="1080"/>
        </w:tabs>
        <w:spacing w:after="240"/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&lt;Insert description.</w:t>
      </w:r>
      <w:r>
        <w:rPr>
          <w:rFonts w:ascii="Arial" w:hAnsi="Arial" w:cs="Arial"/>
          <w:i/>
          <w:sz w:val="22"/>
          <w:szCs w:val="22"/>
        </w:rPr>
        <w:t xml:space="preserve"> Delete this section if no information is required.</w:t>
      </w:r>
      <w:r>
        <w:rPr>
          <w:rFonts w:ascii="Arial" w:hAnsi="Arial" w:cs="Arial"/>
          <w:i/>
          <w:sz w:val="22"/>
          <w:szCs w:val="22"/>
        </w:rPr>
        <w:t>&gt;</w:t>
      </w:r>
    </w:p>
    <w:p w14:paraId="4E22AE6E" w14:textId="77777777">
      <w:pPr>
        <w:rPr>
          <w:rFonts w:ascii="Arial" w:hAnsi="Arial" w:cs="Arial"/>
          <w:sz w:val="22"/>
          <w:szCs w:val="22"/>
        </w:rPr>
      </w:pPr>
    </w:p>
    <w:p w14:paraId="37BC0E8C" w14:textId="7777777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&lt;If research is suspended or terminated, add:&gt;</w:t>
      </w:r>
    </w:p>
    <w:p w14:paraId="4486D2B9" w14:textId="77777777">
      <w:pPr>
        <w:numPr>
          <w:ilvl w:val="0"/>
          <w:numId w:val="4"/>
        </w:numPr>
        <w:tabs>
          <w:tab w:val="clear" w:pos="1080"/>
        </w:tabs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part of this &lt;suspension/termination&gt; the following research activities must stop: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&lt;select one&gt;</w:t>
      </w:r>
    </w:p>
    <w:p w14:paraId="034ED016" w14:textId="77777777">
      <w:pPr>
        <w:numPr>
          <w:ilvl w:val="1"/>
          <w:numId w:val="4"/>
        </w:numPr>
        <w:tabs>
          <w:tab w:val="clear" w:pos="1800"/>
        </w:tabs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research activities must stop. This includes recruitment, advertisement, screening, enrollment, consent, interventions, interactions, and </w:t>
      </w:r>
      <w:r>
        <w:rPr>
          <w:rFonts w:ascii="Arial" w:hAnsi="Arial" w:cs="Arial"/>
          <w:sz w:val="22"/>
          <w:szCs w:val="22"/>
        </w:rPr>
        <w:t xml:space="preserve">collection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analysis of private</w:t>
      </w:r>
      <w:r>
        <w:rPr>
          <w:rFonts w:ascii="Arial" w:hAnsi="Arial" w:cs="Arial"/>
          <w:sz w:val="22"/>
          <w:szCs w:val="22"/>
        </w:rPr>
        <w:t xml:space="preserve"> identifiable information. Advertisements currently running in the media must be pulled.</w:t>
      </w:r>
    </w:p>
    <w:p w14:paraId="01919D69" w14:textId="77777777">
      <w:pPr>
        <w:numPr>
          <w:ilvl w:val="1"/>
          <w:numId w:val="4"/>
        </w:numPr>
        <w:tabs>
          <w:tab w:val="clear" w:pos="1800"/>
        </w:tabs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recruitment, screening, enrollment, and consent must stop. Interventions, interactions, and </w:t>
      </w:r>
      <w:r>
        <w:rPr>
          <w:rFonts w:ascii="Arial" w:hAnsi="Arial" w:cs="Arial"/>
          <w:sz w:val="22"/>
          <w:szCs w:val="22"/>
        </w:rPr>
        <w:t>collection and analysis of private</w:t>
      </w:r>
      <w:r>
        <w:rPr>
          <w:rFonts w:ascii="Arial" w:hAnsi="Arial" w:cs="Arial"/>
          <w:sz w:val="22"/>
          <w:szCs w:val="22"/>
        </w:rPr>
        <w:t xml:space="preserve"> identifiable information may continue.</w:t>
      </w:r>
    </w:p>
    <w:p w14:paraId="4A506837" w14:textId="5DA1708C">
      <w:pPr>
        <w:numPr>
          <w:ilvl w:val="1"/>
          <w:numId w:val="4"/>
        </w:numPr>
        <w:tabs>
          <w:tab w:val="clear" w:pos="1800"/>
        </w:tabs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&lt;Other: Describe requirements&gt;</w:t>
      </w:r>
    </w:p>
    <w:p w14:paraId="1567A452" w14:textId="77777777">
      <w:pPr>
        <w:ind w:left="1080"/>
        <w:contextualSpacing/>
        <w:rPr>
          <w:rFonts w:ascii="Arial" w:hAnsi="Arial" w:cs="Arial"/>
          <w:sz w:val="22"/>
          <w:szCs w:val="22"/>
        </w:rPr>
      </w:pPr>
    </w:p>
    <w:p w14:paraId="09BAD0C2" w14:textId="00B78936">
      <w:pPr>
        <w:numPr>
          <w:ilvl w:val="0"/>
          <w:numId w:val="4"/>
        </w:numPr>
        <w:tabs>
          <w:tab w:val="clear" w:pos="1080"/>
        </w:tabs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believe that current subjects are at risk of harm by stopping research procedures describe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above:</w:t>
      </w:r>
    </w:p>
    <w:p w14:paraId="5EE74D7C" w14:textId="77777777">
      <w:pPr>
        <w:numPr>
          <w:ilvl w:val="1"/>
          <w:numId w:val="4"/>
        </w:numPr>
        <w:tabs>
          <w:tab w:val="clear" w:pos="1800"/>
        </w:tabs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a written list of subjects who will be harmed.</w:t>
      </w:r>
    </w:p>
    <w:p w14:paraId="6A9471ED" w14:textId="77777777">
      <w:pPr>
        <w:numPr>
          <w:ilvl w:val="1"/>
          <w:numId w:val="4"/>
        </w:numPr>
        <w:tabs>
          <w:tab w:val="clear" w:pos="1800"/>
        </w:tabs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the research procedures that need to continue.</w:t>
      </w:r>
    </w:p>
    <w:p w14:paraId="5BE36FCE" w14:textId="77777777">
      <w:pPr>
        <w:numPr>
          <w:ilvl w:val="1"/>
          <w:numId w:val="4"/>
        </w:numPr>
        <w:tabs>
          <w:tab w:val="clear" w:pos="1800"/>
        </w:tabs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the reasons that these procedures need to continue.</w:t>
      </w:r>
    </w:p>
    <w:p w14:paraId="3F452274" w14:textId="33CD0BE6">
      <w:pPr>
        <w:numPr>
          <w:ilvl w:val="1"/>
          <w:numId w:val="4"/>
        </w:numPr>
        <w:tabs>
          <w:tab w:val="clear" w:pos="1800"/>
        </w:tabs>
        <w:spacing w:after="240"/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Immediately provide the IRB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ffice with this information.</w:t>
      </w:r>
    </w:p>
    <w:p w14:paraId="5C4E3AF6" w14:textId="77777777">
      <w:pPr>
        <w:spacing w:after="240"/>
        <w:ind w:left="1080"/>
        <w:contextualSpacing/>
        <w:rPr>
          <w:rFonts w:ascii="Arial" w:hAnsi="Arial" w:cs="Arial"/>
          <w:sz w:val="22"/>
          <w:szCs w:val="22"/>
        </w:rPr>
      </w:pPr>
    </w:p>
    <w:p w14:paraId="5A479634" w14:textId="77777777">
      <w:pPr>
        <w:numPr>
          <w:ilvl w:val="0"/>
          <w:numId w:val="6"/>
        </w:numPr>
        <w:spacing w:after="240"/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 IRB member (if needed, in consultation with others) will decide whether there is an over-riding safety concern or ethical issue involved such that it is in the best interest of individual subjects.</w:t>
      </w:r>
    </w:p>
    <w:p w14:paraId="075A2F79" w14:textId="77777777">
      <w:pPr>
        <w:spacing w:before="36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Should you wish to respond, please submit a written response to the IRB within 10 business days. </w:t>
      </w:r>
    </w:p>
    <w:p w14:paraId="29DBDB9F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let us know if you need additional information.</w:t>
      </w:r>
    </w:p>
    <w:p w14:paraId="66A071DE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343D3FF2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0892EB40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cc:</w:t>
      </w:r>
      <w:r>
        <w:rPr>
          <w:rFonts w:ascii="Arial" w:hAnsi="Arial" w:cs="Arial"/>
          <w:i/>
          <w:sz w:val="22"/>
          <w:szCs w:val="22"/>
        </w:rPr>
        <w:tab/>
        <w:t>&lt;Convened IRB by inclusion in the agenda materials as an information item&gt;</w:t>
      </w:r>
    </w:p>
    <w:p w14:paraId="07579E0A" w14:textId="77777777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4756AA6B" w14:textId="4038E95A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&lt;Principal Investigator&gt;</w:t>
      </w:r>
    </w:p>
    <w:p w14:paraId="625CF071" w14:textId="77777777">
      <w:pPr>
        <w:ind w:firstLine="720"/>
        <w:rPr>
          <w:rFonts w:ascii="Arial" w:hAnsi="Arial" w:cs="Arial"/>
          <w:i/>
          <w:color w:val="FF0000"/>
          <w:sz w:val="22"/>
          <w:szCs w:val="22"/>
        </w:rPr>
      </w:pPr>
    </w:p>
    <w:p w14:paraId="62D49AF8" w14:textId="22811B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&lt;Also copy the following individuals when the information item was determined to be an unanticipated problem involving risks to subjects or others, </w:t>
      </w:r>
      <w:r>
        <w:rPr>
          <w:rFonts w:ascii="Arial" w:hAnsi="Arial" w:cs="Arial"/>
          <w:sz w:val="22"/>
          <w:szCs w:val="22"/>
        </w:rPr>
        <w:t>suspension</w:t>
      </w:r>
      <w:r>
        <w:rPr>
          <w:rFonts w:ascii="Arial" w:hAnsi="Arial" w:cs="Arial"/>
          <w:sz w:val="22"/>
          <w:szCs w:val="22"/>
        </w:rPr>
        <w:t xml:space="preserve"> or termination of IRB approval, or serious or continuing non-compliance.&gt;</w:t>
      </w:r>
    </w:p>
    <w:p w14:paraId="4E0BF89F" w14:textId="77777777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1149FC9B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&lt;Organizational Official&gt;</w:t>
      </w:r>
    </w:p>
    <w:p w14:paraId="5E6C77FC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&lt;Grants and Contracts Office&gt;</w:t>
      </w:r>
    </w:p>
    <w:p w14:paraId="0243E8CD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&lt;Sponsor. Delete if none.&gt;</w:t>
      </w:r>
    </w:p>
    <w:p w14:paraId="0246A352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&lt;Contract Research Organization. Delete if none&gt;</w:t>
      </w:r>
    </w:p>
    <w:p w14:paraId="6AF41FA9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&lt;Chairman or Supervisor of the Principal Investigator&gt;</w:t>
      </w:r>
    </w:p>
    <w:p w14:paraId="326F80F0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&lt;Legal Counsel&gt;</w:t>
      </w:r>
    </w:p>
    <w:p w14:paraId="7AB254C5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&lt;Risk Management&gt;</w:t>
      </w:r>
    </w:p>
    <w:p w14:paraId="266B04C0" w14:textId="07328E3F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&lt;Others as deemed appropriate by the </w:t>
      </w:r>
      <w:r>
        <w:rPr>
          <w:rFonts w:ascii="Arial" w:hAnsi="Arial" w:cs="Arial"/>
          <w:i/>
          <w:sz w:val="22"/>
          <w:szCs w:val="22"/>
        </w:rPr>
        <w:t>Institutional</w:t>
      </w:r>
      <w:r>
        <w:rPr>
          <w:rFonts w:ascii="Arial" w:hAnsi="Arial" w:cs="Arial"/>
          <w:i/>
          <w:sz w:val="22"/>
          <w:szCs w:val="22"/>
        </w:rPr>
        <w:t xml:space="preserve"> Official</w:t>
      </w:r>
      <w:r>
        <w:rPr>
          <w:rFonts w:ascii="Arial" w:hAnsi="Arial" w:cs="Arial"/>
          <w:i/>
          <w:sz w:val="22"/>
          <w:szCs w:val="22"/>
        </w:rPr>
        <w:t>.&gt;</w:t>
      </w:r>
    </w:p>
    <w:p w14:paraId="72A204E6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&lt;For international or collaborative research, the local research ethics committee or equivalent, as applicable&gt;</w:t>
      </w:r>
    </w:p>
    <w:p w14:paraId="4CA2F2E0" w14:textId="77777777">
      <w:pPr>
        <w:ind w:left="144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>&lt;</w:t>
      </w:r>
      <w:r>
        <w:rPr>
          <w:rFonts w:ascii="Arial" w:hAnsi="Arial" w:cs="Arial"/>
          <w:i/>
          <w:color w:val="F898A6"/>
          <w:sz w:val="22"/>
          <w:szCs w:val="22"/>
        </w:rPr>
        <w:t>If the research is Veterans Administration (VA) research: Chair of the Veterans Administration Research and Development Committee at the Veterans Administration facility</w:t>
      </w:r>
      <w:r>
        <w:rPr>
          <w:rFonts w:ascii="Arial" w:hAnsi="Arial" w:cs="Arial"/>
          <w:i/>
          <w:color w:val="F898A6"/>
          <w:sz w:val="22"/>
          <w:szCs w:val="22"/>
        </w:rPr>
        <w:t>, VA facility Director, ACOS/R&amp;D, and RCO (if required)</w:t>
      </w:r>
      <w:r>
        <w:rPr>
          <w:rFonts w:ascii="Arial" w:hAnsi="Arial" w:cs="Arial"/>
          <w:i/>
          <w:color w:val="F898A6"/>
          <w:sz w:val="22"/>
          <w:szCs w:val="22"/>
        </w:rPr>
        <w:t>.&gt;</w:t>
      </w:r>
    </w:p>
    <w:p w14:paraId="224C5704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&lt;The Privacy Officer of an organization, if the report involves unauthorized use, loss, or disclosure of the organization’s individually identifiable information</w:t>
      </w:r>
      <w:r>
        <w:rPr>
          <w:rFonts w:ascii="Arial" w:hAnsi="Arial" w:cs="Arial"/>
          <w:i/>
          <w:sz w:val="22"/>
          <w:szCs w:val="22"/>
        </w:rPr>
        <w:t>&gt;</w:t>
      </w:r>
    </w:p>
    <w:p w14:paraId="65B2ED8C" w14:textId="77777777">
      <w:pPr>
        <w:spacing w:after="240"/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&lt;The Information Security Officer of an organization, if the report involves violations of the organization’s information security requirements.&gt;</w:t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0E4" w:rsidRDefault="001650E4" w14:paraId="0F8BB7DB" w14:textId="77777777">
      <w:r>
        <w:separator/>
      </w:r>
    </w:p>
  </w:endnote>
  <w:endnote w:type="continuationSeparator" w:id="0">
    <w:p w:rsidR="001650E4" w:rsidRDefault="001650E4" w14:paraId="1ED2DA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51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604" w14:textId="07BF88D3">
    <w:pPr>
      <w:pStyle w:val="Footer"/>
      <w:ind w:firstLine="3600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ab/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8"/>
        <w:szCs w:val="18"/>
      </w:rPr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D7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0E4" w:rsidRDefault="001650E4" w14:paraId="0677E840" w14:textId="77777777">
      <w:r>
        <w:separator/>
      </w:r>
    </w:p>
  </w:footnote>
  <w:footnote w:type="continuationSeparator" w:id="0">
    <w:p w:rsidR="001650E4" w:rsidRDefault="001650E4" w14:paraId="755CC7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8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267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E7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15A4FFF"/>
    <w:multiLevelType w:val="hybridMultilevel"/>
    <w:tmpl w:val="661CA4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43F67B8B"/>
    <w:multiLevelType w:val="hybridMultilevel"/>
    <w:tmpl w:val="81BEB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807EAD"/>
    <w:multiLevelType w:val="hybridMultilevel"/>
    <w:tmpl w:val="59D225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3690604"/>
    <w:multiLevelType w:val="hybridMultilevel"/>
    <w:tmpl w:val="CEBCB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 w16cid:durableId="534998854">
    <w:abstractNumId w:val="0"/>
  </w:num>
  <w:num w:numId="2" w16cid:durableId="784735866">
    <w:abstractNumId w:val="5"/>
  </w:num>
  <w:num w:numId="3" w16cid:durableId="1307079600">
    <w:abstractNumId w:val="4"/>
  </w:num>
  <w:num w:numId="4" w16cid:durableId="1411655464">
    <w:abstractNumId w:val="3"/>
  </w:num>
  <w:num w:numId="5" w16cid:durableId="659428531">
    <w:abstractNumId w:val="1"/>
  </w:num>
  <w:num w:numId="6" w16cid:durableId="85198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A99F470-510F-4E39-B890-437743C71557}"/>
    <w:docVar w:name="dgnword-eventsink" w:val="160070144"/>
  </w:docVars>
  <w:rsids>
    <w:rsidRoot w:val="00A61B2D"/>
    <w:rsid w:val="00024410"/>
    <w:rsid w:val="00031DFF"/>
    <w:rsid w:val="00043C97"/>
    <w:rsid w:val="0005272F"/>
    <w:rsid w:val="00054FE5"/>
    <w:rsid w:val="00055722"/>
    <w:rsid w:val="0005574C"/>
    <w:rsid w:val="00064BF2"/>
    <w:rsid w:val="00077129"/>
    <w:rsid w:val="000827A1"/>
    <w:rsid w:val="00091871"/>
    <w:rsid w:val="00094711"/>
    <w:rsid w:val="000A493A"/>
    <w:rsid w:val="000C3045"/>
    <w:rsid w:val="000C4891"/>
    <w:rsid w:val="000D68D5"/>
    <w:rsid w:val="000D74F2"/>
    <w:rsid w:val="000D7521"/>
    <w:rsid w:val="000D7F3F"/>
    <w:rsid w:val="000E5FA5"/>
    <w:rsid w:val="000F04AD"/>
    <w:rsid w:val="000F2208"/>
    <w:rsid w:val="000F530B"/>
    <w:rsid w:val="00120394"/>
    <w:rsid w:val="0013396B"/>
    <w:rsid w:val="001636DE"/>
    <w:rsid w:val="001650E4"/>
    <w:rsid w:val="00185307"/>
    <w:rsid w:val="001B296B"/>
    <w:rsid w:val="001B56EF"/>
    <w:rsid w:val="001D4979"/>
    <w:rsid w:val="001D6637"/>
    <w:rsid w:val="001D7E21"/>
    <w:rsid w:val="001E0ECB"/>
    <w:rsid w:val="001E4B15"/>
    <w:rsid w:val="00202F32"/>
    <w:rsid w:val="00207A5B"/>
    <w:rsid w:val="00232D71"/>
    <w:rsid w:val="00235DEE"/>
    <w:rsid w:val="00250856"/>
    <w:rsid w:val="00255A35"/>
    <w:rsid w:val="00265726"/>
    <w:rsid w:val="00270A59"/>
    <w:rsid w:val="0027168A"/>
    <w:rsid w:val="00282597"/>
    <w:rsid w:val="00297305"/>
    <w:rsid w:val="002A0A88"/>
    <w:rsid w:val="002D243F"/>
    <w:rsid w:val="002D5F6E"/>
    <w:rsid w:val="002E7D7B"/>
    <w:rsid w:val="00310C7B"/>
    <w:rsid w:val="00317C65"/>
    <w:rsid w:val="003355FF"/>
    <w:rsid w:val="0033624A"/>
    <w:rsid w:val="0033746F"/>
    <w:rsid w:val="003629F8"/>
    <w:rsid w:val="003660DC"/>
    <w:rsid w:val="003728AF"/>
    <w:rsid w:val="0038217E"/>
    <w:rsid w:val="00382755"/>
    <w:rsid w:val="003A5FCC"/>
    <w:rsid w:val="003B566C"/>
    <w:rsid w:val="003C3CB3"/>
    <w:rsid w:val="003E3A0B"/>
    <w:rsid w:val="003F696A"/>
    <w:rsid w:val="004006D3"/>
    <w:rsid w:val="00410FFC"/>
    <w:rsid w:val="00412214"/>
    <w:rsid w:val="004244A5"/>
    <w:rsid w:val="00433CB1"/>
    <w:rsid w:val="004346F7"/>
    <w:rsid w:val="0047563F"/>
    <w:rsid w:val="00481843"/>
    <w:rsid w:val="00496191"/>
    <w:rsid w:val="004B1899"/>
    <w:rsid w:val="004D3AE9"/>
    <w:rsid w:val="004E2A52"/>
    <w:rsid w:val="004F2844"/>
    <w:rsid w:val="004F2FAC"/>
    <w:rsid w:val="004F5C9B"/>
    <w:rsid w:val="00502C19"/>
    <w:rsid w:val="00511D8C"/>
    <w:rsid w:val="00526D35"/>
    <w:rsid w:val="00533606"/>
    <w:rsid w:val="00551624"/>
    <w:rsid w:val="005618D0"/>
    <w:rsid w:val="005651BC"/>
    <w:rsid w:val="00567530"/>
    <w:rsid w:val="00571BA8"/>
    <w:rsid w:val="005844C6"/>
    <w:rsid w:val="00585781"/>
    <w:rsid w:val="005A53CA"/>
    <w:rsid w:val="005B6E3C"/>
    <w:rsid w:val="005C24CC"/>
    <w:rsid w:val="005D234C"/>
    <w:rsid w:val="005D5B59"/>
    <w:rsid w:val="005F1D1E"/>
    <w:rsid w:val="005F5202"/>
    <w:rsid w:val="0060046E"/>
    <w:rsid w:val="00600D4B"/>
    <w:rsid w:val="00601E8C"/>
    <w:rsid w:val="00616357"/>
    <w:rsid w:val="0061676C"/>
    <w:rsid w:val="00621003"/>
    <w:rsid w:val="006535B9"/>
    <w:rsid w:val="006658AD"/>
    <w:rsid w:val="00676609"/>
    <w:rsid w:val="00681817"/>
    <w:rsid w:val="0069377C"/>
    <w:rsid w:val="0069477B"/>
    <w:rsid w:val="00695DB5"/>
    <w:rsid w:val="006972C0"/>
    <w:rsid w:val="006C3BD5"/>
    <w:rsid w:val="006E583C"/>
    <w:rsid w:val="006F6935"/>
    <w:rsid w:val="00724B1F"/>
    <w:rsid w:val="007373DC"/>
    <w:rsid w:val="007449E7"/>
    <w:rsid w:val="00754360"/>
    <w:rsid w:val="007640A4"/>
    <w:rsid w:val="00790D8C"/>
    <w:rsid w:val="007A2F0F"/>
    <w:rsid w:val="007A5B1F"/>
    <w:rsid w:val="007D1620"/>
    <w:rsid w:val="007E46F3"/>
    <w:rsid w:val="007E582E"/>
    <w:rsid w:val="007F7143"/>
    <w:rsid w:val="007F7ADA"/>
    <w:rsid w:val="00806851"/>
    <w:rsid w:val="008324A1"/>
    <w:rsid w:val="0085077B"/>
    <w:rsid w:val="00863CC5"/>
    <w:rsid w:val="00863F37"/>
    <w:rsid w:val="00871736"/>
    <w:rsid w:val="00872114"/>
    <w:rsid w:val="008831F9"/>
    <w:rsid w:val="00883CAE"/>
    <w:rsid w:val="00886C10"/>
    <w:rsid w:val="00887D2B"/>
    <w:rsid w:val="00892871"/>
    <w:rsid w:val="008A0B2E"/>
    <w:rsid w:val="008A6CF7"/>
    <w:rsid w:val="008B794A"/>
    <w:rsid w:val="008C3EC2"/>
    <w:rsid w:val="008C769D"/>
    <w:rsid w:val="009017E3"/>
    <w:rsid w:val="00904913"/>
    <w:rsid w:val="00905066"/>
    <w:rsid w:val="009113EF"/>
    <w:rsid w:val="009401F6"/>
    <w:rsid w:val="0094472E"/>
    <w:rsid w:val="00951D8F"/>
    <w:rsid w:val="0097119A"/>
    <w:rsid w:val="00975A3E"/>
    <w:rsid w:val="009805EA"/>
    <w:rsid w:val="0098245C"/>
    <w:rsid w:val="009869FB"/>
    <w:rsid w:val="00993593"/>
    <w:rsid w:val="00993C76"/>
    <w:rsid w:val="009B39EB"/>
    <w:rsid w:val="009B513C"/>
    <w:rsid w:val="009F451D"/>
    <w:rsid w:val="00A203E7"/>
    <w:rsid w:val="00A21070"/>
    <w:rsid w:val="00A239F1"/>
    <w:rsid w:val="00A341BE"/>
    <w:rsid w:val="00A52DA3"/>
    <w:rsid w:val="00A61B2D"/>
    <w:rsid w:val="00A62A4C"/>
    <w:rsid w:val="00A85FAB"/>
    <w:rsid w:val="00A92013"/>
    <w:rsid w:val="00A927CC"/>
    <w:rsid w:val="00A928AD"/>
    <w:rsid w:val="00AA587F"/>
    <w:rsid w:val="00AA7452"/>
    <w:rsid w:val="00AB393F"/>
    <w:rsid w:val="00AB50E7"/>
    <w:rsid w:val="00AC3A42"/>
    <w:rsid w:val="00AC3BB2"/>
    <w:rsid w:val="00AD1266"/>
    <w:rsid w:val="00AD4DCB"/>
    <w:rsid w:val="00AE6A3E"/>
    <w:rsid w:val="00B00015"/>
    <w:rsid w:val="00B00763"/>
    <w:rsid w:val="00B0602E"/>
    <w:rsid w:val="00B55BD6"/>
    <w:rsid w:val="00B60009"/>
    <w:rsid w:val="00B60E3A"/>
    <w:rsid w:val="00B615E9"/>
    <w:rsid w:val="00B639FE"/>
    <w:rsid w:val="00B65CA8"/>
    <w:rsid w:val="00B80B67"/>
    <w:rsid w:val="00B8379F"/>
    <w:rsid w:val="00BA06A9"/>
    <w:rsid w:val="00BA6702"/>
    <w:rsid w:val="00BB1E5C"/>
    <w:rsid w:val="00BB37B9"/>
    <w:rsid w:val="00BE6860"/>
    <w:rsid w:val="00C13DAE"/>
    <w:rsid w:val="00C25824"/>
    <w:rsid w:val="00C3387F"/>
    <w:rsid w:val="00C33D6F"/>
    <w:rsid w:val="00C3548B"/>
    <w:rsid w:val="00C53770"/>
    <w:rsid w:val="00C67AD5"/>
    <w:rsid w:val="00C702DE"/>
    <w:rsid w:val="00C836DD"/>
    <w:rsid w:val="00C86288"/>
    <w:rsid w:val="00C87277"/>
    <w:rsid w:val="00C91421"/>
    <w:rsid w:val="00CB1079"/>
    <w:rsid w:val="00CB22B9"/>
    <w:rsid w:val="00CB6D53"/>
    <w:rsid w:val="00CE2EC6"/>
    <w:rsid w:val="00CF140A"/>
    <w:rsid w:val="00CF1D66"/>
    <w:rsid w:val="00CF50AD"/>
    <w:rsid w:val="00D14C2C"/>
    <w:rsid w:val="00D21BC0"/>
    <w:rsid w:val="00D35CDF"/>
    <w:rsid w:val="00D53F11"/>
    <w:rsid w:val="00D562D4"/>
    <w:rsid w:val="00D8183D"/>
    <w:rsid w:val="00D81FA5"/>
    <w:rsid w:val="00D82394"/>
    <w:rsid w:val="00D82756"/>
    <w:rsid w:val="00D82D8E"/>
    <w:rsid w:val="00DB5C03"/>
    <w:rsid w:val="00DC5431"/>
    <w:rsid w:val="00DE3F09"/>
    <w:rsid w:val="00DE75A2"/>
    <w:rsid w:val="00DF5696"/>
    <w:rsid w:val="00DF763E"/>
    <w:rsid w:val="00E05870"/>
    <w:rsid w:val="00E1313F"/>
    <w:rsid w:val="00E1644A"/>
    <w:rsid w:val="00E361FB"/>
    <w:rsid w:val="00E47759"/>
    <w:rsid w:val="00E63DB5"/>
    <w:rsid w:val="00E71ED1"/>
    <w:rsid w:val="00EA3B5D"/>
    <w:rsid w:val="00EB6F28"/>
    <w:rsid w:val="00EC6541"/>
    <w:rsid w:val="00EC7BA5"/>
    <w:rsid w:val="00ED1046"/>
    <w:rsid w:val="00EF585B"/>
    <w:rsid w:val="00EF5CD9"/>
    <w:rsid w:val="00F15032"/>
    <w:rsid w:val="00F3218F"/>
    <w:rsid w:val="00F349C6"/>
    <w:rsid w:val="00F60094"/>
    <w:rsid w:val="00F6382C"/>
    <w:rsid w:val="00F732FC"/>
    <w:rsid w:val="00F74375"/>
    <w:rsid w:val="00F748D1"/>
    <w:rsid w:val="00F75481"/>
    <w:rsid w:val="00F93A7B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249D8"/>
  <w15:docId w15:val="{784DD649-F3EA-4628-B9EE-1555216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BDA2F-7E5E-4D8F-B9E3-8BE736133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6CB12-9D94-4B2E-B75F-704344813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5017D-6E92-4900-9DBE-B50CC1155D40}">
  <ds:schemaRefs>
    <ds:schemaRef ds:uri="07b1ed27-4a09-479f-8bd2-5a0f6f9bbe9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8c515ec7-3e6c-4e38-8eb4-62fcbe95786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3DF693-167B-481C-9CE5-D81727B08736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13</ap:TotalTime>
  <ap:Pages>3</ap:Pages>
  <ap:Words>524</ap:Words>
  <ap:Characters>3268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TEMPLATE LETTER: Information Item</vt:lpstr>
    </vt:vector>
  </ap:TitlesOfParts>
  <ap:Manager>Huron Consulting Group, Inc.</ap:Manager>
  <ap:Company>Huron Consulting Group, Inc.</ap:Company>
  <ap:LinksUpToDate>false</ap:LinksUpToDate>
  <ap:CharactersWithSpaces>3785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Information Item</dc:title>
  <dc:subject>Huron HRPP Toolkit 3.1</dc:subject>
  <dc:creator>Huron Consulting Group, Inc.</dc:creator>
  <cp:keywords>Huron, HRPP, SOP</cp:keywords>
  <dc:description>©2009-2016 Huron Consulting Services, LLC. Use and distribution subject to End User License Agreement</dc:description>
  <cp:lastModifiedBy>Thomas Bechert</cp:lastModifiedBy>
  <cp:revision>15</cp:revision>
  <cp:lastPrinted>2013-10-24T18:52:00Z</cp:lastPrinted>
  <dcterms:created xsi:type="dcterms:W3CDTF">2019-12-13T03:07:00Z</dcterms:created>
  <dcterms:modified xsi:type="dcterms:W3CDTF">2022-12-12T02:26:00Z</dcterms:modified>
  <cp:category>TEMPLATE 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